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4E5EB" w14:textId="77777777" w:rsidR="00FC4E64" w:rsidRDefault="00D1067E">
      <w:pPr>
        <w:jc w:val="center"/>
      </w:pPr>
      <w:r>
        <w:rPr>
          <w:b/>
          <w:sz w:val="32"/>
        </w:rPr>
        <w:t>CPC COMPANION POLICY INDEX</w:t>
      </w:r>
    </w:p>
    <w:p w14:paraId="59863005" w14:textId="77777777" w:rsidR="00FC4E64" w:rsidRDefault="00D1067E">
      <w:pPr>
        <w:pStyle w:val="Heading1"/>
        <w:spacing w:after="120"/>
      </w:pPr>
      <w:r>
        <w:t>Purpose</w:t>
      </w:r>
    </w:p>
    <w:p w14:paraId="0BED090F" w14:textId="77777777" w:rsidR="00FC4E64" w:rsidRDefault="00D1067E">
      <w:pPr>
        <w:spacing w:after="120"/>
      </w:pPr>
      <w:r>
        <w:t xml:space="preserve">This index helps CPC members understand which document to use for each type of question. The Bylaws remain the governing document. Companion policies and </w:t>
      </w:r>
      <w:r>
        <w:t>checklists provide operating details and may be updated by the Executive Board unless the Bylaws require Voting Member approval.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23"/>
        <w:gridCol w:w="5323"/>
      </w:tblGrid>
      <w:tr w:rsidR="00FC4E64" w14:paraId="7C6F2A42" w14:textId="77777777">
        <w:trPr>
          <w:jc w:val="center"/>
        </w:trPr>
        <w:tc>
          <w:tcPr>
            <w:tcW w:w="5328" w:type="dxa"/>
            <w:shd w:val="clear" w:color="auto" w:fill="D9D9D9"/>
          </w:tcPr>
          <w:p w14:paraId="1F8144BD" w14:textId="77777777" w:rsidR="00FC4E64" w:rsidRDefault="00D1067E">
            <w:r>
              <w:rPr>
                <w:b/>
                <w:sz w:val="18"/>
              </w:rPr>
              <w:t>Document</w:t>
            </w:r>
          </w:p>
        </w:tc>
        <w:tc>
          <w:tcPr>
            <w:tcW w:w="5328" w:type="dxa"/>
            <w:shd w:val="clear" w:color="auto" w:fill="D9D9D9"/>
          </w:tcPr>
          <w:p w14:paraId="3D36DAA8" w14:textId="77777777" w:rsidR="00FC4E64" w:rsidRDefault="00D1067E">
            <w:r>
              <w:rPr>
                <w:b/>
                <w:sz w:val="18"/>
              </w:rPr>
              <w:t>Use For</w:t>
            </w:r>
          </w:p>
        </w:tc>
      </w:tr>
      <w:tr w:rsidR="00FC4E64" w14:paraId="79765849" w14:textId="77777777">
        <w:trPr>
          <w:jc w:val="center"/>
        </w:trPr>
        <w:tc>
          <w:tcPr>
            <w:tcW w:w="5328" w:type="dxa"/>
          </w:tcPr>
          <w:p w14:paraId="4FB50DE7" w14:textId="77777777" w:rsidR="00FC4E64" w:rsidRDefault="00D1067E">
            <w:r>
              <w:rPr>
                <w:sz w:val="18"/>
              </w:rPr>
              <w:t>CPC Bylaws</w:t>
            </w:r>
          </w:p>
        </w:tc>
        <w:tc>
          <w:tcPr>
            <w:tcW w:w="5328" w:type="dxa"/>
          </w:tcPr>
          <w:p w14:paraId="6FE32E5B" w14:textId="77777777" w:rsidR="00FC4E64" w:rsidRDefault="00D1067E">
            <w:r>
              <w:rPr>
                <w:sz w:val="18"/>
              </w:rPr>
              <w:t>Governance, membership, voting, meetings, Executive Board authority, officer duties, financial guardrails, amendments, dissolution</w:t>
            </w:r>
          </w:p>
        </w:tc>
      </w:tr>
      <w:tr w:rsidR="00FC4E64" w14:paraId="1321F2EE" w14:textId="77777777">
        <w:trPr>
          <w:jc w:val="center"/>
        </w:trPr>
        <w:tc>
          <w:tcPr>
            <w:tcW w:w="5328" w:type="dxa"/>
          </w:tcPr>
          <w:p w14:paraId="4C25D2D8" w14:textId="77777777" w:rsidR="00FC4E64" w:rsidRDefault="00D1067E">
            <w:r>
              <w:rPr>
                <w:sz w:val="18"/>
              </w:rPr>
              <w:t>Financial Procedures Policy</w:t>
            </w:r>
          </w:p>
        </w:tc>
        <w:tc>
          <w:tcPr>
            <w:tcW w:w="5328" w:type="dxa"/>
          </w:tcPr>
          <w:p w14:paraId="621678B7" w14:textId="77777777" w:rsidR="00FC4E64" w:rsidRDefault="00D1067E">
            <w:r>
              <w:rPr>
                <w:sz w:val="18"/>
              </w:rPr>
              <w:t>Budget process, purchase requests, reimbursements, deposits, internal controls, emergency purchases</w:t>
            </w:r>
          </w:p>
        </w:tc>
      </w:tr>
      <w:tr w:rsidR="00FC4E64" w14:paraId="4C16CAF6" w14:textId="77777777">
        <w:trPr>
          <w:jc w:val="center"/>
        </w:trPr>
        <w:tc>
          <w:tcPr>
            <w:tcW w:w="5328" w:type="dxa"/>
          </w:tcPr>
          <w:p w14:paraId="18713DE6" w14:textId="77777777" w:rsidR="00FC4E64" w:rsidRDefault="00D1067E">
            <w:r>
              <w:rPr>
                <w:sz w:val="18"/>
              </w:rPr>
              <w:t>School Support Funding, Mini-Grant, and Field Trip Policy</w:t>
            </w:r>
          </w:p>
        </w:tc>
        <w:tc>
          <w:tcPr>
            <w:tcW w:w="5328" w:type="dxa"/>
          </w:tcPr>
          <w:p w14:paraId="4B606530" w14:textId="77777777" w:rsidR="00FC4E64" w:rsidRDefault="00D1067E">
            <w:r>
              <w:rPr>
                <w:sz w:val="18"/>
              </w:rPr>
              <w:t>Classroom mini-grants, school support requests, field trip assistance, funding limits, denials, records</w:t>
            </w:r>
          </w:p>
        </w:tc>
      </w:tr>
      <w:tr w:rsidR="00FC4E64" w14:paraId="1EA8C8BB" w14:textId="77777777">
        <w:trPr>
          <w:jc w:val="center"/>
        </w:trPr>
        <w:tc>
          <w:tcPr>
            <w:tcW w:w="5328" w:type="dxa"/>
          </w:tcPr>
          <w:p w14:paraId="2175281E" w14:textId="77777777" w:rsidR="00FC4E64" w:rsidRDefault="00D1067E">
            <w:r>
              <w:rPr>
                <w:sz w:val="18"/>
              </w:rPr>
              <w:t>Scholarship Policy</w:t>
            </w:r>
          </w:p>
        </w:tc>
        <w:tc>
          <w:tcPr>
            <w:tcW w:w="5328" w:type="dxa"/>
          </w:tcPr>
          <w:p w14:paraId="2690DE31" w14:textId="77777777" w:rsidR="00FC4E64" w:rsidRDefault="00D1067E">
            <w:r>
              <w:rPr>
                <w:sz w:val="18"/>
              </w:rPr>
              <w:t>Scholarship eligibility, application process, review, scoring, conflicts, approval, payment, records</w:t>
            </w:r>
          </w:p>
        </w:tc>
      </w:tr>
      <w:tr w:rsidR="00FC4E64" w14:paraId="33CB3974" w14:textId="77777777">
        <w:trPr>
          <w:jc w:val="center"/>
        </w:trPr>
        <w:tc>
          <w:tcPr>
            <w:tcW w:w="5328" w:type="dxa"/>
          </w:tcPr>
          <w:p w14:paraId="4C2979FC" w14:textId="77777777" w:rsidR="00FC4E64" w:rsidRDefault="00D1067E">
            <w:r>
              <w:rPr>
                <w:sz w:val="18"/>
              </w:rPr>
              <w:t>District Coordination and Compliance Checklist</w:t>
            </w:r>
          </w:p>
        </w:tc>
        <w:tc>
          <w:tcPr>
            <w:tcW w:w="5328" w:type="dxa"/>
          </w:tcPr>
          <w:p w14:paraId="6E39A065" w14:textId="77777777" w:rsidR="00FC4E64" w:rsidRDefault="00D1067E">
            <w:r>
              <w:rPr>
                <w:sz w:val="18"/>
              </w:rPr>
              <w:t xml:space="preserve">District </w:t>
            </w:r>
            <w:r>
              <w:rPr>
                <w:sz w:val="18"/>
              </w:rPr>
              <w:t>approvals, insurance, fundraising, donations, annual compliance review</w:t>
            </w:r>
          </w:p>
        </w:tc>
      </w:tr>
      <w:tr w:rsidR="00FC4E64" w14:paraId="52DE626A" w14:textId="77777777">
        <w:trPr>
          <w:jc w:val="center"/>
        </w:trPr>
        <w:tc>
          <w:tcPr>
            <w:tcW w:w="5328" w:type="dxa"/>
          </w:tcPr>
          <w:p w14:paraId="1667ED3C" w14:textId="77777777" w:rsidR="00FC4E64" w:rsidRDefault="00D1067E">
            <w:r>
              <w:rPr>
                <w:sz w:val="18"/>
              </w:rPr>
              <w:t>Records Retention and Officer Transition Checklist</w:t>
            </w:r>
          </w:p>
        </w:tc>
        <w:tc>
          <w:tcPr>
            <w:tcW w:w="5328" w:type="dxa"/>
          </w:tcPr>
          <w:p w14:paraId="2C04E553" w14:textId="77777777" w:rsidR="00FC4E64" w:rsidRDefault="00D1067E">
            <w:r>
              <w:rPr>
                <w:sz w:val="18"/>
              </w:rPr>
              <w:t>Record retention, Google Drive/document management, access transfer, officer transition</w:t>
            </w:r>
          </w:p>
        </w:tc>
      </w:tr>
      <w:tr w:rsidR="00FC4E64" w14:paraId="522F500E" w14:textId="77777777">
        <w:trPr>
          <w:jc w:val="center"/>
        </w:trPr>
        <w:tc>
          <w:tcPr>
            <w:tcW w:w="5328" w:type="dxa"/>
          </w:tcPr>
          <w:p w14:paraId="38725E5D" w14:textId="77777777" w:rsidR="00FC4E64" w:rsidRDefault="00D1067E">
            <w:r>
              <w:rPr>
                <w:sz w:val="18"/>
              </w:rPr>
              <w:t>Committee and Event Guidelines</w:t>
            </w:r>
          </w:p>
        </w:tc>
        <w:tc>
          <w:tcPr>
            <w:tcW w:w="5328" w:type="dxa"/>
          </w:tcPr>
          <w:p w14:paraId="169AF82B" w14:textId="77777777" w:rsidR="00FC4E64" w:rsidRDefault="00D1067E">
            <w:r>
              <w:rPr>
                <w:sz w:val="18"/>
              </w:rPr>
              <w:t>Committee leads, event planning, committee spending, communications, volunteer expectations</w:t>
            </w:r>
          </w:p>
        </w:tc>
      </w:tr>
    </w:tbl>
    <w:p w14:paraId="7C1EF908" w14:textId="77777777" w:rsidR="00FC4E64" w:rsidRDefault="00FC4E64"/>
    <w:p w14:paraId="4B44A0D7" w14:textId="77777777" w:rsidR="00FC4E64" w:rsidRDefault="00D1067E">
      <w:pPr>
        <w:pStyle w:val="Heading1"/>
        <w:spacing w:after="120"/>
      </w:pPr>
      <w:r>
        <w:t>Recommended Review Schedule</w:t>
      </w:r>
    </w:p>
    <w:p w14:paraId="22DB388A" w14:textId="77777777" w:rsidR="00FC4E64" w:rsidRDefault="00D1067E">
      <w:pPr>
        <w:pStyle w:val="ListBullet"/>
        <w:spacing w:after="40"/>
      </w:pPr>
      <w:r>
        <w:t>Bylaws: review annually and amend only through the Bylaw amendment process.</w:t>
      </w:r>
    </w:p>
    <w:p w14:paraId="4F14D734" w14:textId="77777777" w:rsidR="00FC4E64" w:rsidRDefault="00D1067E">
      <w:pPr>
        <w:pStyle w:val="ListBullet"/>
        <w:spacing w:after="40"/>
      </w:pPr>
      <w:r>
        <w:t>Financial Procedures Policy: review before each fiscal year and after Treasurer transition.</w:t>
      </w:r>
    </w:p>
    <w:p w14:paraId="6D90D442" w14:textId="77777777" w:rsidR="00FC4E64" w:rsidRDefault="00D1067E">
      <w:pPr>
        <w:pStyle w:val="ListBullet"/>
        <w:spacing w:after="40"/>
      </w:pPr>
      <w:r>
        <w:t>School Support Funding Policy: review before opening annual requests.</w:t>
      </w:r>
    </w:p>
    <w:p w14:paraId="682BD72B" w14:textId="77777777" w:rsidR="00FC4E64" w:rsidRDefault="00D1067E">
      <w:pPr>
        <w:pStyle w:val="ListBullet"/>
        <w:spacing w:after="40"/>
      </w:pPr>
      <w:r>
        <w:t>Scholarship Policy: review before announcing scholarships.</w:t>
      </w:r>
    </w:p>
    <w:p w14:paraId="74EA7BBD" w14:textId="77777777" w:rsidR="00FC4E64" w:rsidRDefault="00D1067E">
      <w:pPr>
        <w:pStyle w:val="ListBullet"/>
        <w:spacing w:after="40"/>
      </w:pPr>
      <w:r>
        <w:t>District Coordination Checklist: review before the Annual Meeting and before major events.</w:t>
      </w:r>
    </w:p>
    <w:p w14:paraId="6299E9CF" w14:textId="77777777" w:rsidR="00FC4E64" w:rsidRDefault="00D1067E">
      <w:pPr>
        <w:pStyle w:val="ListBullet"/>
        <w:spacing w:after="40"/>
      </w:pPr>
      <w:r>
        <w:t>Records/Transition Checklist: review after elections and before officer transitions.</w:t>
      </w:r>
    </w:p>
    <w:p w14:paraId="45AB969F" w14:textId="77777777" w:rsidR="00FC4E64" w:rsidRDefault="00D1067E">
      <w:pPr>
        <w:pStyle w:val="ListBullet"/>
        <w:spacing w:after="40"/>
      </w:pPr>
      <w:r>
        <w:t>Committee/Event Guidelines: review when committees are appointed or event planning begins.</w:t>
      </w:r>
    </w:p>
    <w:sectPr w:rsidR="00FC4E64" w:rsidSect="00034616">
      <w:headerReference w:type="default" r:id="rId8"/>
      <w:footerReference w:type="default" r:id="rId9"/>
      <w:pgSz w:w="12240" w:h="15840"/>
      <w:pgMar w:top="504" w:right="792" w:bottom="648" w:left="792" w:header="216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73388" w14:textId="77777777" w:rsidR="00D1067E" w:rsidRDefault="00D1067E">
      <w:pPr>
        <w:spacing w:after="0" w:line="240" w:lineRule="auto"/>
      </w:pPr>
      <w:r>
        <w:separator/>
      </w:r>
    </w:p>
  </w:endnote>
  <w:endnote w:type="continuationSeparator" w:id="0">
    <w:p w14:paraId="2DC9DC94" w14:textId="77777777" w:rsidR="00D1067E" w:rsidRDefault="00D10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AEA4" w14:textId="77777777" w:rsidR="00FC4E64" w:rsidRDefault="00D1067E">
    <w:pPr>
      <w:pStyle w:val="Footer"/>
      <w:jc w:val="center"/>
    </w:pPr>
    <w:r>
      <w:t xml:space="preserve">Page </w:t>
    </w:r>
    <w:r>
      <w:fldChar w:fldCharType="begin"/>
    </w:r>
    <w:r>
      <w:instrText>PAGE</w:instrText>
    </w:r>
    <w:r w:rsidR="00552754">
      <w:fldChar w:fldCharType="separate"/>
    </w:r>
    <w:r w:rsidR="0055275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72F9C" w14:textId="77777777" w:rsidR="00D1067E" w:rsidRDefault="00D1067E">
      <w:pPr>
        <w:spacing w:after="0" w:line="240" w:lineRule="auto"/>
      </w:pPr>
      <w:r>
        <w:separator/>
      </w:r>
    </w:p>
  </w:footnote>
  <w:footnote w:type="continuationSeparator" w:id="0">
    <w:p w14:paraId="658BC45F" w14:textId="77777777" w:rsidR="00D1067E" w:rsidRDefault="00D10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2A76" w14:textId="77777777" w:rsidR="00FC4E64" w:rsidRDefault="00D1067E">
    <w:pPr>
      <w:pStyle w:val="Header"/>
      <w:jc w:val="center"/>
    </w:pPr>
    <w:r>
      <w:rPr>
        <w:noProof/>
      </w:rPr>
      <w:drawing>
        <wp:inline distT="0" distB="0" distL="0" distR="0" wp14:anchorId="0AA0C020" wp14:editId="53F7361C">
          <wp:extent cx="6675120" cy="84684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c_bann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75120" cy="846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1328040">
    <w:abstractNumId w:val="8"/>
  </w:num>
  <w:num w:numId="2" w16cid:durableId="1495758607">
    <w:abstractNumId w:val="6"/>
  </w:num>
  <w:num w:numId="3" w16cid:durableId="2104374270">
    <w:abstractNumId w:val="5"/>
  </w:num>
  <w:num w:numId="4" w16cid:durableId="1166673538">
    <w:abstractNumId w:val="4"/>
  </w:num>
  <w:num w:numId="5" w16cid:durableId="676082129">
    <w:abstractNumId w:val="7"/>
  </w:num>
  <w:num w:numId="6" w16cid:durableId="2116747463">
    <w:abstractNumId w:val="3"/>
  </w:num>
  <w:num w:numId="7" w16cid:durableId="371619117">
    <w:abstractNumId w:val="2"/>
  </w:num>
  <w:num w:numId="8" w16cid:durableId="65614105">
    <w:abstractNumId w:val="1"/>
  </w:num>
  <w:num w:numId="9" w16cid:durableId="1034696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52754"/>
    <w:rsid w:val="00AA1D8D"/>
    <w:rsid w:val="00B47730"/>
    <w:rsid w:val="00B74F11"/>
    <w:rsid w:val="00CB0664"/>
    <w:rsid w:val="00D1067E"/>
    <w:rsid w:val="00FC4E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EFA769"/>
  <w14:defaultImageDpi w14:val="300"/>
  <w15:docId w15:val="{E58CCE8C-5DF4-492C-A0E8-4A4E7713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6a3c6d6-20be-440c-baee-405ea02b4934}" enabled="1" method="Standard" siteId="{51d990ea-a0d3-4c05-ae31-d87c6787dd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Jaimie Bisher</cp:lastModifiedBy>
  <cp:revision>3</cp:revision>
  <dcterms:created xsi:type="dcterms:W3CDTF">2026-06-30T20:32:00Z</dcterms:created>
  <dcterms:modified xsi:type="dcterms:W3CDTF">2026-06-30T20:33:00Z</dcterms:modified>
  <cp:category/>
</cp:coreProperties>
</file>